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87"/>
        <w:gridCol w:w="6134"/>
      </w:tblGrid>
      <w:tr>
        <w:trPr>
          <w:trHeight w:val="1544" w:hRule="atLeast"/>
        </w:trPr>
        <w:tc>
          <w:tcPr>
            <w:tcW w:w="378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635</wp:posOffset>
                  </wp:positionV>
                  <wp:extent cx="1135380" cy="1029335"/>
                  <wp:effectExtent l="0" t="0" r="0" b="0"/>
                  <wp:wrapSquare wrapText="largest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caps/>
                <w:sz w:val="14"/>
                <w:szCs w:val="14"/>
              </w:rPr>
              <w:t>Участник Ассоциации "Нефтегазовый кластер"</w:t>
            </w:r>
          </w:p>
        </w:tc>
        <w:tc>
          <w:tcPr>
            <w:tcW w:w="613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righ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Общество с ограниченной ответственностью "НЕОМАШ"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ОГРН 1087232036055, ИНН/КПП 7204127618 /720301001, 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625034, г. Тюмень, ул. Камчатская, д.194, офис 409 Б, 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+7 345 229-02-67 </w:t>
            </w:r>
            <w:r>
              <w:rPr>
                <w:color w:val="0000FF"/>
                <w:u w:val="single"/>
                <w:shd w:fill="FFFFFF" w:val="clear"/>
                <w:lang w:val="en-US" w:eastAsia="ru-RU"/>
              </w:rPr>
              <w:t>mailbox</w:t>
            </w:r>
            <w:hyperlink r:id="rId3">
              <w:r>
                <w:rPr>
                  <w:color w:val="0000FF"/>
                  <w:u w:val="single"/>
                  <w:shd w:fill="FFFFFF" w:val="clear"/>
                  <w:lang w:val="ru-RU"/>
                </w:rPr>
                <w:t>@neo-mash.ru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righ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  <w:t>Данные о клиенте:</w:t>
      </w:r>
    </w:p>
    <w:tbl>
      <w:tblPr>
        <w:tblStyle w:val="a7"/>
        <w:tblW w:w="87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389"/>
      </w:tblGrid>
      <w:tr>
        <w:trPr/>
        <w:tc>
          <w:tcPr>
            <w:tcW w:w="339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 w:bidi="ar-SA"/>
              </w:rPr>
              <w:t>Наименование организации:</w:t>
            </w:r>
          </w:p>
        </w:tc>
        <w:tc>
          <w:tcPr>
            <w:tcW w:w="538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true"/>
              <w:spacing w:lineRule="auto" w:line="240" w:before="0" w:after="0"/>
              <w:ind w:left="882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339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 w:bidi="ar-SA"/>
              </w:rPr>
              <w:t>ФИО:</w:t>
            </w:r>
          </w:p>
        </w:tc>
        <w:tc>
          <w:tcPr>
            <w:tcW w:w="538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true"/>
              <w:spacing w:lineRule="auto" w:line="240" w:before="0" w:after="0"/>
              <w:ind w:left="882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339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 w:bidi="ar-SA"/>
              </w:rPr>
              <w:t>Должность:</w:t>
            </w:r>
          </w:p>
        </w:tc>
        <w:tc>
          <w:tcPr>
            <w:tcW w:w="538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true"/>
              <w:spacing w:lineRule="auto" w:line="240" w:before="0" w:after="0"/>
              <w:ind w:left="882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339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 w:bidi="ar-SA"/>
              </w:rPr>
              <w:t>Электронная почта:</w:t>
            </w:r>
          </w:p>
        </w:tc>
        <w:tc>
          <w:tcPr>
            <w:tcW w:w="538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true"/>
              <w:spacing w:lineRule="auto" w:line="240" w:before="0" w:after="0"/>
              <w:ind w:left="882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339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 w:bidi="ar-SA"/>
              </w:rPr>
              <w:t>Телефон:</w:t>
            </w:r>
          </w:p>
        </w:tc>
        <w:tc>
          <w:tcPr>
            <w:tcW w:w="538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true"/>
              <w:spacing w:lineRule="auto" w:line="240" w:before="0" w:after="0"/>
              <w:ind w:left="882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</w:tbl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b/>
          <w:b/>
          <w:color w:val="0D0D0D"/>
          <w:sz w:val="28"/>
          <w:szCs w:val="28"/>
        </w:rPr>
      </w:pPr>
      <w:r>
        <w:rPr>
          <w:rFonts w:cs="Times New Roman" w:ascii="Times New Roman" w:hAnsi="Times New Roman"/>
          <w:b/>
          <w:color w:val="0D0D0D"/>
          <w:sz w:val="28"/>
          <w:szCs w:val="28"/>
        </w:rPr>
        <w:t>Опросный лист на реактор/автоклав (Н</w:t>
      </w:r>
      <w:r>
        <w:rPr>
          <w:rFonts w:eastAsia="Calibri" w:cs="Times New Roman" w:ascii="Times New Roman" w:hAnsi="Times New Roman"/>
          <w:b/>
          <w:color w:val="0D0D0D"/>
          <w:kern w:val="0"/>
          <w:sz w:val="28"/>
          <w:szCs w:val="28"/>
          <w:lang w:val="ru-RU" w:eastAsia="en-US" w:bidi="ar-SA"/>
        </w:rPr>
        <w:t>М</w:t>
      </w:r>
      <w:r>
        <w:rPr>
          <w:rFonts w:cs="Times New Roman" w:ascii="Times New Roman" w:hAnsi="Times New Roman"/>
          <w:b/>
          <w:color w:val="0D0D0D"/>
          <w:sz w:val="28"/>
          <w:szCs w:val="28"/>
        </w:rPr>
        <w:t>-РА)</w:t>
      </w:r>
    </w:p>
    <w:tbl>
      <w:tblPr>
        <w:tblW w:w="9765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825"/>
        <w:gridCol w:w="3828"/>
        <w:gridCol w:w="3112"/>
      </w:tblGrid>
      <w:tr>
        <w:trPr/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b/>
                <w:bCs/>
                <w:color w:val="4A5568"/>
                <w:sz w:val="27"/>
                <w:szCs w:val="27"/>
                <w:lang w:eastAsia="ru-RU"/>
              </w:rPr>
              <w:t>Технические характеристики автоклавов/реакторов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Source Sans Pro" w:hAnsi="Source Sans Pro" w:eastAsia="Times New Roman" w:cs="Times New Roman"/>
                <w:b/>
                <w:b/>
                <w:bCs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b/>
                <w:bCs/>
                <w:color w:val="4A5568"/>
                <w:sz w:val="27"/>
                <w:szCs w:val="27"/>
                <w:lang w:eastAsia="ru-RU"/>
              </w:rPr>
              <w:t>Требуемые параметры</w:t>
            </w:r>
          </w:p>
        </w:tc>
      </w:tr>
      <w:tr>
        <w:trPr/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Характеристика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Максимально возможные параметры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Укажите требуемые характеристики</w:t>
            </w:r>
          </w:p>
        </w:tc>
      </w:tr>
      <w:tr>
        <w:trPr/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 xml:space="preserve">Объем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до 20000 мл(20л).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Давление рабочее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до 100 МПа.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Температура рабочая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до 650 °С.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Тип нагрева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Прямой нагрев (электронагреватель хомутовый)/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Жидкостная рубашка/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Отсутствие нагрева.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Наличие перемешивающего устройства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Присутствует/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Отсутствует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Тип перемешивающего устройства (для справок ГОСТ 22577)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Лопастная/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Винтовая/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Турбинная/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Рамная/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Шнековая/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Ленточная/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Другая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Скорость вращения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до 3000 об/мин.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Тип передачи вращения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 xml:space="preserve">Прямой (до 200 об/мин. </w:t>
            </w: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val="en-US" w:eastAsia="ru-RU"/>
              </w:rPr>
              <w:t>P</w:t>
            </w: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vertAlign w:val="subscript"/>
                <w:lang w:val="en-US" w:eastAsia="ru-RU"/>
              </w:rPr>
              <w:t>max</w:t>
            </w: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=12 МПа.)/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Магнитная муфта (укажите момент н*см)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Материал исполнения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Кислотостойкий сплав НС-276/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Титан/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Нержавеющая сталь/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Другой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Способ герметизации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 xml:space="preserve">Резиновое кольцо (до 200 </w:t>
            </w: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vertAlign w:val="superscript"/>
                <w:lang w:eastAsia="ru-RU"/>
              </w:rPr>
              <w:t>0</w:t>
            </w: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C.)/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Прокладка из ПТФЕ (до 230 </w:t>
            </w: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vertAlign w:val="superscript"/>
                <w:lang w:eastAsia="ru-RU"/>
              </w:rPr>
              <w:t>0</w:t>
            </w: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C.)/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Графитовая прокладка/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Металлическая прокладка/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Другой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Тип запирающего механизма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Резьбовой (до 500 мл)/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Фланцевый/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Хомут с компрессионными болтами/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 xml:space="preserve">Хомут (при использовании резиновых колец) </w:t>
              <w:br/>
              <w:t>Другой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Отсоединяемый элемент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Крышка/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Корпус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Тип привод отсоединяемого элемента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Механический (ручной)/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Электрический/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Пневматический/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Без подъемного механизма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Точки измерения температуры</w:t>
              <w:br/>
              <w:t xml:space="preserve"> (не более 3 шт.)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0-100% от глубины автоклава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 xml:space="preserve">Количество портов подключения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Укажите необходимое кол-во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Особые отметки портов подключения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Необходимые размеры, назначение, тип присоединения, расположение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Отбор проб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(глубина погружной части)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0-100% от глубины автоклава (при необходимости)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Устройство защиты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Предохранительный клапан (до 40 МПа.)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Разрывная мембрана (от 12 Мпа.)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Смотровое окно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 xml:space="preserve">Наличие (до 40 МПа, до 200 </w:t>
            </w: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vertAlign w:val="superscript"/>
                <w:lang w:eastAsia="ru-RU"/>
              </w:rPr>
              <w:t>0</w:t>
            </w: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C )/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Отсутствует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  <w:tr>
        <w:trPr>
          <w:trHeight w:val="350" w:hRule="atLeast"/>
        </w:trPr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Измерения давления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Цифровое (датчик давления)/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Аналоговое (Манометр)/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Цифровое и Аналоговое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  <w:tr>
        <w:trPr>
          <w:trHeight w:val="350" w:hRule="atLeast"/>
        </w:trPr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Запись данных эксперимента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 xml:space="preserve">Запись на </w:t>
            </w: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val="en-US" w:eastAsia="ru-RU"/>
              </w:rPr>
              <w:t>USB</w:t>
            </w: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Подключение к ПК/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Отсутствует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  <w:tr>
        <w:trPr>
          <w:trHeight w:val="350" w:hRule="atLeast"/>
        </w:trPr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Назначение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  <w:tr>
        <w:trPr>
          <w:trHeight w:val="350" w:hRule="atLeast"/>
        </w:trPr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Особые отметки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  <w:t>Пожелания по конструкции, дополнительные устройства, дополнительная комплектация и тд.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ource Sans Pro" w:hAnsi="Source Sans Pro" w:eastAsia="Times New Roman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Source Sans Pro" w:hAnsi="Source Sans Pro"/>
                <w:color w:val="4A5568"/>
                <w:sz w:val="27"/>
                <w:szCs w:val="27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center" w:pos="4677" w:leader="none"/>
          <w:tab w:val="right" w:pos="9355" w:leader="none"/>
        </w:tabs>
        <w:spacing w:lineRule="auto" w:line="240" w:before="240" w:after="0"/>
        <w:ind w:firstLine="567"/>
        <w:rPr>
          <w:rFonts w:ascii="Times New Roman" w:hAnsi="Times New Roman" w:cs="Times New Roman"/>
          <w:b/>
          <w:b/>
          <w:lang w:eastAsia="ru-RU"/>
        </w:rPr>
      </w:pPr>
      <w:r>
        <w:rPr>
          <w:rFonts w:cs="Times New Roman" w:ascii="Times New Roman" w:hAnsi="Times New Roman"/>
          <w:b/>
          <w:lang w:eastAsia="ru-RU"/>
        </w:rPr>
        <w:t xml:space="preserve">Опросный лист является ознакомительным, Точная информация по установке будет доступна после согласования технического задания. </w:t>
      </w:r>
    </w:p>
    <w:sectPr>
      <w:type w:val="nextPage"/>
      <w:pgSz w:w="11906" w:h="16838"/>
      <w:pgMar w:left="1418" w:right="566" w:gutter="0" w:header="0" w:top="426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ource Sans Pr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7228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3"/>
    <w:uiPriority w:val="99"/>
    <w:qFormat/>
    <w:locked/>
    <w:rsid w:val="00076ccf"/>
    <w:rPr>
      <w:rFonts w:ascii="Times New Roman" w:hAnsi="Times New Roman" w:cs="Times New Roman"/>
      <w:sz w:val="20"/>
      <w:szCs w:val="20"/>
      <w:lang w:eastAsia="ru-RU"/>
    </w:rPr>
  </w:style>
  <w:style w:type="character" w:styleId="95pt" w:customStyle="1">
    <w:name w:val="Основной текст + 9.5 pt"/>
    <w:uiPriority w:val="99"/>
    <w:qFormat/>
    <w:rsid w:val="00c64d1b"/>
    <w:rPr>
      <w:rFonts w:ascii="Times New Roman" w:hAnsi="Times New Roman"/>
      <w:spacing w:val="0"/>
      <w:sz w:val="19"/>
    </w:rPr>
  </w:style>
  <w:style w:type="character" w:styleId="BodyTextChar" w:customStyle="1">
    <w:name w:val="Body Text Char"/>
    <w:uiPriority w:val="99"/>
    <w:qFormat/>
    <w:locked/>
    <w:rsid w:val="007c221d"/>
    <w:rPr>
      <w:rFonts w:ascii="Times New Roman" w:hAnsi="Times New Roman"/>
      <w:sz w:val="20"/>
      <w:shd w:fill="FFFFFF" w:val="clear"/>
    </w:rPr>
  </w:style>
  <w:style w:type="character" w:styleId="7" w:customStyle="1">
    <w:name w:val="Основной текст (7)_"/>
    <w:link w:val="71"/>
    <w:uiPriority w:val="99"/>
    <w:qFormat/>
    <w:locked/>
    <w:rsid w:val="007c221d"/>
    <w:rPr>
      <w:rFonts w:ascii="Times New Roman" w:hAnsi="Times New Roman"/>
      <w:b/>
      <w:shd w:fill="FFFFFF" w:val="clear"/>
    </w:rPr>
  </w:style>
  <w:style w:type="character" w:styleId="71" w:customStyle="1">
    <w:name w:val="Основной текст (7)"/>
    <w:uiPriority w:val="99"/>
    <w:qFormat/>
    <w:rsid w:val="007c221d"/>
    <w:rPr>
      <w:rFonts w:ascii="Times New Roman" w:hAnsi="Times New Roman" w:cs="Times New Roman"/>
      <w:b/>
      <w:bCs/>
      <w:shd w:fill="FFFFFF" w:val="clear"/>
    </w:rPr>
  </w:style>
  <w:style w:type="character" w:styleId="Style15" w:customStyle="1">
    <w:name w:val="Основной текст Знак"/>
    <w:link w:val="a5"/>
    <w:uiPriority w:val="99"/>
    <w:semiHidden/>
    <w:qFormat/>
    <w:locked/>
    <w:rsid w:val="00eb1a36"/>
    <w:rPr>
      <w:rFonts w:cs="Calibri"/>
      <w:lang w:eastAsia="en-US"/>
    </w:rPr>
  </w:style>
  <w:style w:type="character" w:styleId="1" w:customStyle="1">
    <w:name w:val="Основной текст Знак1"/>
    <w:uiPriority w:val="99"/>
    <w:semiHidden/>
    <w:qFormat/>
    <w:rsid w:val="007c221d"/>
    <w:rPr>
      <w:rFonts w:ascii="Calibri" w:hAnsi="Calibri" w:cs="Calibri"/>
    </w:rPr>
  </w:style>
  <w:style w:type="character" w:styleId="Style16" w:customStyle="1">
    <w:name w:val="Нижний колонтитул Знак"/>
    <w:link w:val="a9"/>
    <w:uiPriority w:val="99"/>
    <w:qFormat/>
    <w:rsid w:val="00ab4ad2"/>
    <w:rPr>
      <w:rFonts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locked/>
    <w:rsid w:val="00ef38d2"/>
    <w:rPr>
      <w:b/>
      <w:b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6"/>
    <w:uiPriority w:val="99"/>
    <w:rsid w:val="007c221d"/>
    <w:pPr>
      <w:shd w:val="clear" w:color="auto" w:fill="FFFFFF"/>
      <w:spacing w:lineRule="atLeast" w:line="240" w:before="60" w:after="0"/>
    </w:pPr>
    <w:rPr>
      <w:rFonts w:ascii="Times New Roman" w:hAnsi="Times New Roman" w:cs="Times New Roman"/>
      <w:sz w:val="20"/>
      <w:szCs w:val="20"/>
      <w:lang w:eastAsia="ru-RU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4"/>
    <w:uiPriority w:val="99"/>
    <w:rsid w:val="00076ccf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1" w:customStyle="1">
    <w:name w:val="Абзац списка1"/>
    <w:basedOn w:val="Normal"/>
    <w:uiPriority w:val="99"/>
    <w:qFormat/>
    <w:rsid w:val="00076ccf"/>
    <w:pPr>
      <w:ind w:left="720" w:hanging="0"/>
    </w:pPr>
    <w:rPr>
      <w:rFonts w:eastAsia="Times New Roman"/>
    </w:rPr>
  </w:style>
  <w:style w:type="paragraph" w:styleId="711" w:customStyle="1">
    <w:name w:val="Основной текст (7)1"/>
    <w:basedOn w:val="Normal"/>
    <w:link w:val="7"/>
    <w:uiPriority w:val="99"/>
    <w:qFormat/>
    <w:rsid w:val="007c221d"/>
    <w:pPr>
      <w:shd w:val="clear" w:color="auto" w:fill="FFFFFF"/>
      <w:spacing w:lineRule="atLeast" w:line="240" w:before="60" w:after="60"/>
      <w:jc w:val="both"/>
    </w:pPr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687158"/>
    <w:pPr>
      <w:spacing w:lineRule="auto" w:line="259" w:before="0" w:after="160"/>
      <w:ind w:left="720" w:hanging="0"/>
      <w:contextualSpacing/>
    </w:pPr>
    <w:rPr>
      <w:rFonts w:cs="Times New Roman"/>
    </w:rPr>
  </w:style>
  <w:style w:type="paragraph" w:styleId="Style25">
    <w:name w:val="Footer"/>
    <w:basedOn w:val="Normal"/>
    <w:link w:val="aa"/>
    <w:uiPriority w:val="99"/>
    <w:unhideWhenUsed/>
    <w:rsid w:val="00ab4ad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ef38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8715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neo-mash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LibreOffice/7.2.1.2$Windows_X86_64 LibreOffice_project/87b77fad49947c1441b67c559c339af8f3517e22</Application>
  <AppVersion>15.0000</AppVersion>
  <Pages>2</Pages>
  <Words>283</Words>
  <Characters>2107</Characters>
  <CharactersWithSpaces>2303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2022-08-18T06:14:00Z</dcterms:created>
  <dc:creator>Павел</dc:creator>
  <dc:description/>
  <dc:language>ru-RU</dc:language>
  <cp:lastModifiedBy/>
  <cp:lastPrinted>2022-08-12T08:40:00Z</cp:lastPrinted>
  <dcterms:modified xsi:type="dcterms:W3CDTF">2023-08-23T11:46:17Z</dcterms:modified>
  <cp:revision>5</cp:revision>
  <dc:subject/>
  <dc:title>ООО «НЕОМАШ»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